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中国石油天然气股份有限公司广西桂林销售分公司屏风加油站职业病危害因素定期检测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中国石油天然气股份有限公司广西桂林销售分公司屏风加油站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地址</w:t>
            </w:r>
          </w:p>
        </w:tc>
        <w:tc>
          <w:tcPr>
            <w:tcW w:w="6390" w:type="dxa"/>
            <w:gridSpan w:val="3"/>
            <w:vAlign w:val="center"/>
          </w:tcPr>
          <w:p>
            <w:pPr>
              <w:jc w:val="left"/>
              <w:rPr>
                <w:rFonts w:hint="eastAsia"/>
                <w:color w:val="auto"/>
                <w:sz w:val="24"/>
                <w:lang w:eastAsia="zh-CN"/>
              </w:rPr>
            </w:pPr>
            <w:r>
              <w:rPr>
                <w:rFonts w:hint="eastAsia"/>
                <w:color w:val="auto"/>
                <w:sz w:val="24"/>
                <w:lang w:eastAsia="zh-CN"/>
              </w:rPr>
              <w:t>桂林市环城北路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白一君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color w:val="auto"/>
                <w:sz w:val="24"/>
                <w:lang w:eastAsia="zh-CN"/>
              </w:rPr>
            </w:pPr>
            <w:r>
              <w:rPr>
                <w:rFonts w:hint="eastAsia"/>
                <w:color w:val="auto"/>
                <w:sz w:val="24"/>
                <w:lang w:eastAsia="zh-CN"/>
              </w:rPr>
              <w:t>肖融融、蓝慰醒、韦燕娟、黄珊珊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肖融融、蓝慰醒、韦燕娟、</w:t>
            </w:r>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color w:val="auto"/>
                <w:sz w:val="24"/>
                <w:lang w:eastAsia="zh-CN"/>
              </w:rPr>
            </w:pPr>
            <w:r>
              <w:rPr>
                <w:rFonts w:hint="eastAsia"/>
                <w:color w:val="auto"/>
                <w:sz w:val="24"/>
                <w:lang w:eastAsia="zh-CN"/>
              </w:rPr>
              <w:t>肖融融、蓝慰醒、黄珊珊</w:t>
            </w:r>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白一君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center"/>
              <w:rPr>
                <w:rFonts w:hint="eastAsia" w:eastAsia="宋体"/>
                <w:lang w:eastAsia="zh-CN"/>
              </w:rPr>
            </w:pPr>
            <w:r>
              <w:rPr>
                <w:rFonts w:hint="eastAsia" w:eastAsia="宋体"/>
                <w:lang w:eastAsia="zh-CN"/>
              </w:rPr>
              <w:drawing>
                <wp:inline distT="0" distB="0" distL="114300" distR="114300">
                  <wp:extent cx="4773295" cy="3994785"/>
                  <wp:effectExtent l="0" t="0" r="8255" b="5715"/>
                  <wp:docPr id="2" name="图片 2" descr="e6e6d03e69ca8f20b0d0a4b99561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e6d03e69ca8f20b0d0a4b99561a67"/>
                          <pic:cNvPicPr>
                            <a:picLocks noChangeAspect="1"/>
                          </pic:cNvPicPr>
                        </pic:nvPicPr>
                        <pic:blipFill>
                          <a:blip r:embed="rId5"/>
                          <a:srcRect t="28402" b="6773"/>
                          <a:stretch>
                            <a:fillRect/>
                          </a:stretch>
                        </pic:blipFill>
                        <pic:spPr>
                          <a:xfrm>
                            <a:off x="0" y="0"/>
                            <a:ext cx="4773295" cy="3994785"/>
                          </a:xfrm>
                          <a:prstGeom prst="rect">
                            <a:avLst/>
                          </a:prstGeom>
                        </pic:spPr>
                      </pic:pic>
                    </a:graphicData>
                  </a:graphic>
                </wp:inline>
              </w:drawing>
            </w:r>
          </w:p>
          <w:p>
            <w:pPr>
              <w:pStyle w:val="2"/>
              <w:jc w:val="center"/>
              <w:rPr>
                <w:rFonts w:hint="eastAsia" w:eastAsia="宋体"/>
                <w:lang w:eastAsia="zh-CN"/>
              </w:rPr>
            </w:pPr>
            <w:r>
              <w:rPr>
                <w:rFonts w:hint="eastAsia" w:eastAsia="宋体"/>
                <w:lang w:eastAsia="zh-CN"/>
              </w:rPr>
              <w:drawing>
                <wp:inline distT="0" distB="0" distL="114300" distR="114300">
                  <wp:extent cx="5253990" cy="3940175"/>
                  <wp:effectExtent l="0" t="0" r="3810" b="3175"/>
                  <wp:docPr id="3" name="图片 3" descr="IMG_20231024_13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1024_131316"/>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bookmarkStart w:id="0" w:name="_GoBack"/>
            <w:r>
              <w:rPr>
                <w:rFonts w:hint="eastAsia" w:eastAsia="宋体"/>
                <w:lang w:eastAsia="zh-CN"/>
              </w:rPr>
              <w:drawing>
                <wp:inline distT="0" distB="0" distL="114300" distR="114300">
                  <wp:extent cx="5253990" cy="3940175"/>
                  <wp:effectExtent l="0" t="0" r="3810" b="3175"/>
                  <wp:docPr id="4" name="图片 4" descr="IMG_20231024_13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024_131304"/>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bookmarkEnd w:id="0"/>
          </w:p>
          <w:p>
            <w:pPr>
              <w:pStyle w:val="2"/>
              <w:jc w:val="both"/>
              <w:rPr>
                <w:rFonts w:hint="eastAsia" w:eastAsia="宋体"/>
                <w:lang w:eastAsia="zh-CN"/>
              </w:rPr>
            </w:pPr>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78029EA"/>
    <w:rsid w:val="081927B4"/>
    <w:rsid w:val="091947A2"/>
    <w:rsid w:val="09911938"/>
    <w:rsid w:val="0C742F36"/>
    <w:rsid w:val="0EC43CE9"/>
    <w:rsid w:val="0FB06131"/>
    <w:rsid w:val="10565ED1"/>
    <w:rsid w:val="106B3218"/>
    <w:rsid w:val="124B0E36"/>
    <w:rsid w:val="13541020"/>
    <w:rsid w:val="160915CE"/>
    <w:rsid w:val="17020839"/>
    <w:rsid w:val="1AF16A77"/>
    <w:rsid w:val="1B3D31D7"/>
    <w:rsid w:val="20F74B1A"/>
    <w:rsid w:val="241C2BD3"/>
    <w:rsid w:val="242F4AB0"/>
    <w:rsid w:val="246F1F69"/>
    <w:rsid w:val="248278CC"/>
    <w:rsid w:val="250D60C3"/>
    <w:rsid w:val="25D734CC"/>
    <w:rsid w:val="27263FC2"/>
    <w:rsid w:val="286311E4"/>
    <w:rsid w:val="29620B1B"/>
    <w:rsid w:val="30304270"/>
    <w:rsid w:val="31766A0F"/>
    <w:rsid w:val="32972BB7"/>
    <w:rsid w:val="3524592C"/>
    <w:rsid w:val="38B30AB4"/>
    <w:rsid w:val="393C1C83"/>
    <w:rsid w:val="3CF44E66"/>
    <w:rsid w:val="45AD6564"/>
    <w:rsid w:val="46FC32E7"/>
    <w:rsid w:val="48EC393A"/>
    <w:rsid w:val="48F33CF9"/>
    <w:rsid w:val="4B5F36FD"/>
    <w:rsid w:val="4CF30A3B"/>
    <w:rsid w:val="51AD799D"/>
    <w:rsid w:val="54435105"/>
    <w:rsid w:val="56CF0ED3"/>
    <w:rsid w:val="56F244DE"/>
    <w:rsid w:val="59C033E5"/>
    <w:rsid w:val="5A027772"/>
    <w:rsid w:val="5AD70BF8"/>
    <w:rsid w:val="5BFD7A80"/>
    <w:rsid w:val="5CC33A5C"/>
    <w:rsid w:val="5D585C9C"/>
    <w:rsid w:val="636B2CD2"/>
    <w:rsid w:val="6A0F2598"/>
    <w:rsid w:val="6BD64A6A"/>
    <w:rsid w:val="6C4C4565"/>
    <w:rsid w:val="6D3A325A"/>
    <w:rsid w:val="712A77A3"/>
    <w:rsid w:val="74AD278D"/>
    <w:rsid w:val="75B82DDF"/>
    <w:rsid w:val="77187345"/>
    <w:rsid w:val="798A028B"/>
    <w:rsid w:val="7DFF1D61"/>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9</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dcterms:modified xsi:type="dcterms:W3CDTF">2023-12-21T11:38:51Z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C9877D859B0D4D4FADBF86C5203C549F_13</vt:lpwstr>
  </property>
</Properties>
</file>